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6bb879f66986b695706ae9f12972f46e1eb95"/>
    <w:p>
      <w:pPr>
        <w:pStyle w:val="Heading3"/>
      </w:pPr>
      <w:r>
        <w:t xml:space="preserve">Методические рекомендации Минтруда и соцзащиты РФ по разработке и принятию организациями мер по предупреждению и противодейстивю коррупции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разработке и принятию организациями мер по предупреждению и противодействию коррупции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http://tagan.mos.ru/anti-corruption/methodical-materials/detail/1051164.html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methodical-materials/metodicheskie-rekomendatsii-mintruda-i-sotszashchity-rf-po-razrabotke-i-prinyatiyu-organizatsiyami-mer-po-preduprezhdeniyu-i-protivodeystivyu-korruptsii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methodical-materials/metodicheskie-rekomendatsii-mintruda-i-sotszashchity-rf-po-razrabotke-i-prinyatiyu-organizatsiyami-mer-po-preduprezhdeniyu-i-protivodeystivyu-korruptsii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2024-11-22T14:54:52Z</dcterms:created>
  <dcterms:modified xsi:type="dcterms:W3CDTF">2024-11-22T14:54:52Z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