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типовая-декларация-конфликта-интересов"/>
    <w:p>
      <w:pPr>
        <w:pStyle w:val="Heading3"/>
      </w:pPr>
      <w:r>
        <w:t xml:space="preserve">Типовая декларация конфликта интересов</w:t>
      </w:r>
    </w:p>
    <w:p>
      <w:pPr>
        <w:pStyle w:val="FirstParagraph"/>
      </w:pPr>
      <w:r>
        <w:t xml:space="preserve">22.05.2014</w:t>
      </w:r>
    </w:p>
    <w:p>
      <w:pPr>
        <w:pStyle w:val="BodyText"/>
      </w:pPr>
      <w:hyperlink r:id="rId20">
        <w:r>
          <w:rPr>
            <w:rStyle w:val="Hyperlink"/>
          </w:rPr>
          <w:t xml:space="preserve">Типовая декларация конфликта интересов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http://tagan.mos.ru/anti-corruption/methodical-materials/detail/1051170.html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anti-corruption/methodical-materials/tipovaya-deklaratsiya-konflikta-interesov.doc" TargetMode="External" /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anti-corruption/methodical-materials/detail/10511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anti-corruption/methodical-materials/tipovaya-deklaratsiya-konflikta-interesov.doc" TargetMode="External" /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anti-corruption/methodical-materials/detail/10511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2024-11-15T02:51:25Z</dcterms:created>
  <dcterms:modified xsi:type="dcterms:W3CDTF">2024-11-15T02:51:25Z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