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4ad5584de3d9dc598bfd8afec9a2f8891048a"/>
    <w:p>
      <w:pPr>
        <w:pStyle w:val="Heading3"/>
      </w:pPr>
      <w:r>
        <w:t xml:space="preserve">Обзор типовых ситуаций конфликта интересов. Подготовленных Минтруда и соцзащиты РФ</w:t>
      </w:r>
    </w:p>
    <w:p>
      <w:pPr>
        <w:pStyle w:val="FirstParagraph"/>
      </w:pPr>
      <w:r>
        <w:t xml:space="preserve">21.05.2014</w:t>
      </w:r>
    </w:p>
    <w:p>
      <w:pPr>
        <w:pStyle w:val="BodyText"/>
      </w:pPr>
      <w:hyperlink r:id="rId20">
        <w:r>
          <w:rPr>
            <w:rStyle w:val="Hyperlink"/>
          </w:rPr>
          <w:t xml:space="preserve">Обзор типовых ситуаций конфликта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http://tagan.mos.ru/anti-corruption/methodical-materials/detail/1051171.html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nti-corruption/methodical-materials/obzor-tipovykh-situatsiy-konflikta-interesov.-podgotovlennykh-mintruda-i-sotszashchity-rf.doc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methodical-materials/detail/1051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nti-corruption/methodical-materials/obzor-tipovykh-situatsiy-konflikta-interesov.-podgotovlennykh-mintruda-i-sotszashchity-rf.doc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methodical-materials/detail/1051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2024-11-18T17:14:06Z</dcterms:created>
  <dcterms:modified xsi:type="dcterms:W3CDTF">2024-11-18T17:14:06Z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