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каз-69-к-от-04.05.2016"/>
    <w:p>
      <w:pPr>
        <w:pStyle w:val="Heading3"/>
      </w:pPr>
      <w:r>
        <w:t xml:space="preserve">Приказ №69-К от 04.05.2016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http://tagan.mos.ru/anti-corruption/the-commission-for-observance-of-requirements-for-the-official-behaviour-of-state-civil-employees-of/detail/3264582.html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the-commission-for-observance-of-requirements-for-the-official-behaviour-of-state-civil-employees-of/detail/3264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anti-corruption/the-commission-for-observance-of-requirements-for-the-official-behaviour-of-state-civil-employees-of/detail/3264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2025-07-04T14:27:03Z</dcterms:created>
  <dcterms:modified xsi:type="dcterms:W3CDTF">2025-07-04T14:27:03Z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