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иказ-179-к-от-20.10.2016"/>
    <w:p>
      <w:pPr>
        <w:pStyle w:val="Heading3"/>
      </w:pPr>
      <w:r>
        <w:t xml:space="preserve">Приказ № 179-К от 20.10.2016</w:t>
      </w:r>
    </w:p>
    <w:p>
      <w:pPr>
        <w:pStyle w:val="FirstParagraph"/>
      </w:pPr>
      <w:r>
        <w:t xml:space="preserve">21.10.2016</w:t>
      </w:r>
    </w:p>
    <w:p>
      <w:pPr>
        <w:pStyle w:val="BodyText"/>
      </w:pPr>
      <w:hyperlink r:id="rId20">
        <w:r>
          <w:rPr>
            <w:rStyle w:val="Hyperlink"/>
          </w:rPr>
          <w:t xml:space="preserve">приказ 179-к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http://tagan.mos.ru/anti-corruption/the-commission-for-observance-of-requirements-for-the-official-behaviour-of-state-civil-employees-of/detail/4011538.html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269/prikaz-komissiya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4011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269/prikaz-komissiya.pdf" TargetMode="Externa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anti-corruption/the-commission-for-observance-of-requirements-for-the-official-behaviour-of-state-civil-employees-of/detail/4011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2025-07-04T14:35:57Z</dcterms:created>
  <dcterms:modified xsi:type="dcterms:W3CDTF">2025-07-04T14:35:57Z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