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bf2eff7e0e38fa20a13af8d1e17c045191630"/>
    <w:p>
      <w:pPr>
        <w:pStyle w:val="Heading3"/>
      </w:pPr>
      <w:r>
        <w:t xml:space="preserve">Городское отраслевое соглашение по организациям городского и жилищно-коммунального хозяйства Москвы на 2022-2025 гг.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t xml:space="preserve">В соответствии с Московским трехсторонним соглашением на2022-2024 г.г. в отрасли подписано Городское отраслевое соглашение по организациям городского и жилищно-коммунального хозяйства Москвы (далее - Соглашение) между Правительством Москвы, Общественной организацией "Профсоюз муниципальных работников Москвы" и Региональным отраслевым объединением работодателей Союз коммунальных предприятий г. Москвы на период с 1 сентября 2022 года по 31 августа 2025 года, одной из сторон которого является Департамент жилищно-коммунального хозяйства города Москвы.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t xml:space="preserve">Указанное Соглашение в установленном порядке прошло уведомительную регистрацию в Департаменте труда и социальной защиты города Москвы (№15 от 31.08.2022 г.).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Задача соглашения заключается в содействии позитивным преобразованиям и проведению социально-ориентированной политики дальнейшего реформирования городского и жилищно-коммунального хозяйства, привлечению и закреплению квалифицированных кадров, установлению и реализации социально-трудовых гарантий работникам, развитию социального партнерства, инициативы и соревнования в трудовых коллективах отрасли.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Соглашение признает необходимы заключение коллективных договоров в организациях всех форм собственности и является основой для ведения переговоров и заключения коллективных договоров.</w:t>
      </w:r>
    </w:p>
    <w:p>
      <w:pPr>
        <w:pStyle w:val="BodyText"/>
      </w:pPr>
      <w:r>
        <w:t xml:space="preserve">Документ дает возможность предоставления целого ряда льгот и гарантий работникам организаций. Для этого в коллективных договорах необходимо определить порядок и условия их предоставления, учитывая финансово-экономическое положение работодателя.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Городским отраслевым соглашением локальные нормативных акты, касающиеся оплаты и условий труда, принимаются в организациях отрасли по согласованию с выборным профсоюзным органом.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Соглашение предусматривает взаимодействие работодателей и профсоюзных организаций в создании благоприятных условий для дальнейшей реализации мероприятий по реформированию городского и жилищно-коммунального хозяйства и оптимального согласования интересов сторон трудовых отношений.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http://tagan.mos.ru/consumer-market/for-information-entrepreneurs/detail/11031587.html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1031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1031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2025-07-10T10:13:49Z</dcterms:created>
  <dcterms:modified xsi:type="dcterms:W3CDTF">2025-07-10T10:13:49Z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