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4986ac80144d8cf920b7e26f76a84d14886c1"/>
    <w:p>
      <w:pPr>
        <w:pStyle w:val="Heading3"/>
      </w:pPr>
      <w:r>
        <w:t xml:space="preserve">О государственной регистрации аттракционов вида «немеханизированные» типа «батуты»</w:t>
      </w:r>
    </w:p>
    <w:p>
      <w:pPr>
        <w:pStyle w:val="FirstParagraph"/>
      </w:pPr>
      <w:r>
        <w:t xml:space="preserve">20.04.2023</w:t>
      </w:r>
    </w:p>
    <w:p>
      <w:pPr>
        <w:pStyle w:val="BodyText"/>
      </w:pPr>
      <w:r>
        <w:t xml:space="preserve">Инспекция по надзору за аттракционами (далее - Инспекция) осуществляет региональный государственный контроль (надзор) в области технического состояния и эксплуатации аттракционов в городе Москве в соответствии с Положением о региональном государственном контроле (надзоре) в области технического состояния и эксплуатации аттракционов в городе Москве, утвержденным постановлением Правительства Москвы от 23 декабря 2022 г. № 2994-ПП, а также осуществляет государственную регистрацию аттракционов в соответствии с Административным регламентом, утвержденным постановлением Правительства Москвы от 4 июня 2020 г. № 740-ПП.</w:t>
      </w:r>
    </w:p>
    <w:p>
      <w:pPr>
        <w:pStyle w:val="BodyText"/>
      </w:pPr>
      <w:r>
        <w:t xml:space="preserve">Административным регламентом установлено, что государственной регистрации в Инспекции подлежат аттракционы, виды и типы которых предусмотрены приложением 1 технического регламента Евразийского экономического союза «О безопасности аттракционов» (ТР ЕАЭС 038/2016, далее – технический регламент), имеющие степени потенциального биомеханического риска RB-1, RB-2 и RB-3,</w:t>
      </w:r>
      <w:r>
        <w:t xml:space="preserve"> </w:t>
      </w:r>
      <w:r>
        <w:rPr>
          <w:u w:val="single"/>
        </w:rPr>
        <w:t xml:space="preserve">к которым, в том числе, относятся аттракционы вида «немеханизированные» типа «батуты».</w:t>
      </w:r>
    </w:p>
    <w:p>
      <w:pPr>
        <w:pStyle w:val="BodyText"/>
      </w:pPr>
      <w:r>
        <w:t xml:space="preserve">К оборудованию указанного типа относятся конструкции, собранные на раме из металлического профиля, внутри которой при помощи пружин закреплено прыжковое полотно (батутная сетка). Вдоль периметра конструкции устанавливается мягкий обкладочный материал из ПВХ материалов, предохраняющий посетителей от получения травм при совершении прыжков на батуте.</w:t>
      </w:r>
    </w:p>
    <w:p>
      <w:pPr>
        <w:pStyle w:val="BodyText"/>
      </w:pPr>
      <w:r>
        <w:t xml:space="preserve">Обязательной государственной регистрации до ввода в эксплуатацию подлежат аттракционы вида «немеханизированные» типа «батуты», имеющие установленную изготовителем степень потенциального биомеханического риска RB-1, RB-2 или RB-3 и отнесенные производителем к области применения технического регламента. Сведения о принадлежности аттракционов к техническому регламенту с указанием их вида и типа, а также степени потенциального биомеханического риска содержатся в эксплуатационных документах (паспорте или формуляре аттракциона), а также в декларации (сертификате) соответствия выпускаемой продукции.</w:t>
      </w:r>
    </w:p>
    <w:p>
      <w:pPr>
        <w:pStyle w:val="BodyText"/>
      </w:pPr>
      <w:r>
        <w:t xml:space="preserve">В случаях, когда принадлежность оборудования, схожего по своим характеристикам с аттракционами вида «немеханизированные» типа «батуты» к области применения технического регламента производителем не определена, эксплуатанту необходимо провести его идентификацию, обратившись в любой из аккредитованных органов по сертификации, информация о которых размещена на официальном сайте Федеральной службы по аккредитации (Росаккредитация) в сети Интернет, где на странице Реестра аккредитованных лиц (https://pub.fsa.gov.ru/ral) в поле «Технический регламент ЕАЭС» необходимо выбрать область применения «ТР ЕАЭС 038/2016 О безопасности аттракционов».</w:t>
      </w:r>
    </w:p>
    <w:p>
      <w:pPr>
        <w:pStyle w:val="BodyText"/>
      </w:pPr>
      <w:r>
        <w:t xml:space="preserve">В случаях, когда указанное выше оборудование по результатам проведенной идентификации отнесено аккредитованным органом по сертификации к аттракционам вида «немеханизированные» типа «батуты» с установленной степенью потенциального биомеханического риска RB-1, RB-2 или RB-3, попадающим в область применения технического регламента, такие аттракционы в соответствии с Административным регламентом подлежат обязательной государственной регистрации в Инспекции до их ввода в эксплуатацию.</w:t>
      </w:r>
    </w:p>
    <w:p>
      <w:pPr>
        <w:pStyle w:val="BodyText"/>
      </w:pPr>
      <w:r>
        <w:t xml:space="preserve">Обращаем внимание, что в случае идентификации по принадлежности батутов, батутных комплексов и иных подобных конструкции к области применения Технического регламента Евразийского экономического союза «О безопасности оборудования для детских игровых площадок» (ТР ЕАЭС 042/2017), такое оборудование государственной регистрации в качестве аттракционов в Инспекции не подлежит.</w:t>
      </w:r>
    </w:p>
    <w:p>
      <w:pPr>
        <w:pStyle w:val="BodyText"/>
      </w:pPr>
      <w:r>
        <w:t xml:space="preserve">Также не подлежат регистрации спортивные батуты и батутные комплексы, используемые исключительно для подготовки спортсменов в специализированных спортивных центрах. Назначение такого оборудования указано производителем в эксплуатационной документации (паспорте изделия) как спортивное и не предусматривает его использование в качестве развлекательного оборудования, предназначенного для неограниченного круга пользователей.</w:t>
      </w:r>
    </w:p>
    <w:p>
      <w:pPr>
        <w:pStyle w:val="BodyText"/>
      </w:pPr>
      <w:r>
        <w:t xml:space="preserve">Ответственность за исправное техническое состояние аттракциона и эксплуатацию несет его владелец (эксплуатант). Наличие у эксплуатанта государственного регистрационного знака и свидетельства о государственной регистрации аттракциона, оформленных в соответствии с требованиями Административного регламента, подтверждает прохождение аттракционом процедуры государственной регистрации в Инспекции. Эксплуатация аттракционов незарегистрированных в установленном порядке не допускается.</w:t>
      </w:r>
    </w:p>
    <w:p>
      <w:pPr>
        <w:pStyle w:val="BodyText"/>
      </w:pPr>
      <w:r>
        <w:t xml:space="preserve">Предоставление государственной услуги «Государственная регистрация аттракционов в городе Москве» осуществляется Инспекцией исключительно в электронной форме на портале mos.ru.</w:t>
      </w:r>
    </w:p>
    <w:p>
      <w:pPr>
        <w:pStyle w:val="BodyText"/>
      </w:pPr>
      <w:r>
        <w:t xml:space="preserve">Заявление на получение государственной услуги необходимо подавать через «Каталог услуг для бизнеса» в разделе «Транспорт и аттракционы» при выборе подраздела «Аттракционы» на портале mos.ru. Там же можно ознакомиться с информацией о порядке предоставления государственной услуги.</w:t>
      </w:r>
    </w:p>
    <w:p>
      <w:pPr>
        <w:pStyle w:val="BodyText"/>
      </w:pPr>
      <w:r>
        <w:t xml:space="preserve">За несоблюдение правил размещения, регистрации и эксплуатации аттракционов Кодексом города Москвы об административных правонарушениях предусмотрена административная ответственность.</w:t>
      </w:r>
    </w:p>
    <w:p>
      <w:pPr>
        <w:pStyle w:val="BodyText"/>
      </w:pPr>
      <w:r>
        <w:br/>
      </w:r>
    </w:p>
    <w:p>
      <w:pPr>
        <w:pStyle w:val="BodyText"/>
      </w:pPr>
      <w:r>
        <w:t xml:space="preserve">Адрес страницы:</w:t>
      </w:r>
      <w:r>
        <w:t xml:space="preserve"> </w:t>
      </w:r>
      <w:hyperlink r:id="rId20">
        <w:r>
          <w:rPr>
            <w:rStyle w:val="Hyperlink"/>
          </w:rPr>
          <w:t xml:space="preserve">http://tagan.mos.ru/consumer-market/for-information-entrepreneurs/detail/11543956.html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consumer-market/for-information-entrepreneurs/detail/115439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consumer-market/for-information-entrepreneurs/detail/115439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2024-08-13T03:21:59Z</dcterms:created>
  <dcterms:modified xsi:type="dcterms:W3CDTF">2024-08-13T03:21:59Z</dcterms:modified>
</cp:coreProperties>
</file>

<file path=docProps/custom.xml><?xml version="1.0" encoding="utf-8"?>
<Properties xmlns="http://schemas.openxmlformats.org/officeDocument/2006/custom-properties" xmlns:vt="http://schemas.openxmlformats.org/officeDocument/2006/docPropsVTypes"/>
</file>