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8eb466c354a5e66bfbdd6be952cc8fdaadf9d"/>
    <w:p>
      <w:pPr>
        <w:pStyle w:val="Heading3"/>
      </w:pPr>
      <w:r>
        <w:t xml:space="preserve">О государственной регистрации аттракционов</w:t>
      </w:r>
    </w:p>
    <w:p>
      <w:pPr>
        <w:pStyle w:val="FirstParagraph"/>
      </w:pPr>
      <w:r>
        <w:t xml:space="preserve">28.05.2024</w:t>
      </w:r>
    </w:p>
    <w:p>
      <w:pPr>
        <w:pStyle w:val="BodyText"/>
      </w:pPr>
      <w:r>
        <w:t xml:space="preserve">Инспекция по надзору за аттракционами Гостехнадзора города Москвы (далее - Инспекция) осуществляет региональный государственный контроль (надзор) в области технического состояния и эксплуатации аттракционов в городе Москве в соответствии с Положением о региональном государственном контроле (надзоре) в области технического состояния и эксплуатации аттракционов в городе Москве, утвержденным постановлением Правительства Москвы от 23 декабря 2022 г. № 2994-ПП, а также предоставляет государственную услугу «Государственная регистрация аттракционов в городе Москве» в соответствии с Административным регламентом, утвержденным постановлением Правительства Москвы от 4 июня 2020 г. № 740-ПП (далее - Административный регламент).</w:t>
      </w:r>
    </w:p>
    <w:p>
      <w:pPr>
        <w:pStyle w:val="BodyText"/>
      </w:pPr>
      <w:r>
        <w:t xml:space="preserve">Административным регламентом установлено, что государственной регистрации в Инспекции подлежат аттракционы, виды и типы которых предусмотрены приложением 1 технического регламента Евразийского экономического союза «О безопасности аттракционов» (ТР ЕАЭС 038/2016, далее - технический регламент), имеющие степени потенциального биомеханического риска RB-1, RB-2 и RB-3.</w:t>
      </w:r>
    </w:p>
    <w:p>
      <w:pPr>
        <w:pStyle w:val="BodyText"/>
      </w:pPr>
      <w:r>
        <w:t xml:space="preserve">Сведения о принадлежности аттракционов к области применения технического регламента с указанием их вида и типа, а также степени потенциального биомеханического риска содержатся в эксплуатационных документах (паспорте или формуляре аттракциона), а также в декларации (сертификате) соответствия выпускаемой продукции.</w:t>
      </w:r>
    </w:p>
    <w:p>
      <w:pPr>
        <w:pStyle w:val="BodyText"/>
      </w:pPr>
      <w:r>
        <w:t xml:space="preserve">В случаях, когда принадлежность оборудования, схожего по своим характеристикам с аттракционами к области применения технического регламента производителем не определена, эксплуатанту необходимо провести его идентификацию, обратившись в любой из аккредитованных органов по сертификации, информация о которых размещена на официальном сайте Федеральной службы по аккредитации (Росаккредитация) в сети Интернет, где на странице Реестра аккредитованных лиц (https://pub.fsa.gov.ru/ral) в поле «Технический регламент ЕАЭС» необходимо выбрать область применения «ТР ЕАЭС 038/2016 О безопасности аттракционов».</w:t>
      </w:r>
    </w:p>
    <w:p>
      <w:pPr>
        <w:pStyle w:val="BodyText"/>
      </w:pPr>
      <w:r>
        <w:t xml:space="preserve">Обращаем внимание, что в случае идентификации продукции по принадлежности к области применения Технического регламента Евразийского экономического союза «О безопасности оборудования для детских игровых площадок» (ТР ЕАЭС 042/2017), такое оборудование государственной регистрации в качестве аттракционов в Инспекции не подлежит.</w:t>
      </w:r>
    </w:p>
    <w:p>
      <w:pPr>
        <w:pStyle w:val="BodyText"/>
      </w:pPr>
      <w:r>
        <w:t xml:space="preserve">Информируем, что не подлежат государственной регистрации в качестве аттракционов изделия, используемые исключительно для подготовки спортсменов в специализированных спортивных центрах. Назначение такого оборудования указывается производителем в эксплуатационной документации (паспорте изделия) как спортивное и не предусматривает его использование в качестве развлекательного оборудования, предназначенного для неограниченного круга пользователей.</w:t>
      </w:r>
    </w:p>
    <w:p>
      <w:pPr>
        <w:pStyle w:val="BodyText"/>
      </w:pPr>
      <w:r>
        <w:t xml:space="preserve">Вместе с тем, в соответствии с классификацией технического регламента в отдельную категорию выделены аттракционы вида «немеханизированные» типа «батуты». К оборудованию указанного типа относятся конструкции, собранные на раме из металлического профиля, внутри которой при помощи пружин закреплено прыжковое полотно (батутная сетка). Вдоль периметра конструкции устанавливается мягкий обкладочный материал из ПВХ материалов, предохраняющий посетителей от получения травм при совершении прыжков на батуте. Это оборудование необходимо рассматривать в качестве аттракционов, подлежащих государственной регистрации, в случае наличия в эксплуатационных документах сведений о принадлежности изделия к области применения технического регламента, либо сведений о принадлежности изделия к области применения технического регламента, полученных эксплуатантом по результатам проведенной идентификации оборудования аккредитованным органом по сертификации.</w:t>
      </w:r>
    </w:p>
    <w:p>
      <w:pPr>
        <w:pStyle w:val="BodyText"/>
      </w:pPr>
      <w:r>
        <w:t xml:space="preserve">Особое внимание необходимо уделить размещению на подведомственных территориях (открытых территориях, территориях торгово-развлекательных и детских игровых центров) аттракционов вида «надувные» типов «батуты надувные», «горки» и «лабиринты», также подлежащих государственной регистрации до ввода их в эксплуатацию с пассажирами. С учетом высокой мобильности надувного оборудования у эксплуатанта существует возможность быстрой смены места размещения аттракциона, что создает предпосылки для недопустимой эксплуатации аттракциона с пассажирами без прохождения процедуры государственной регистрации в Инспекции. При заключении договоров аренды площадей и совершении иных юридических действий, связанных с размещением аттракционов на подведомственных территориях, балансодержателям необходимо убедиться в наличии государственной регистрации у аттракциона, до начала его эксплуатации с пассажирами.</w:t>
      </w:r>
    </w:p>
    <w:p>
      <w:pPr>
        <w:pStyle w:val="BodyText"/>
      </w:pPr>
      <w:r>
        <w:t xml:space="preserve">Наличие у эксплуатанта государственного регистрационного знака аттракциона и свидетельства о государственной регистрации аттракциона, оформленных в соответствии с требованиями Административного регламента, подтверждает прохождение аттракционом процедуры государственной регистрации в Инспекции. Эксплуатация аттракционов незарегистрированных в установленном порядке не допускается.</w:t>
      </w:r>
    </w:p>
    <w:p>
      <w:pPr>
        <w:pStyle w:val="BodyText"/>
      </w:pPr>
      <w:r>
        <w:t xml:space="preserve">За несоблюдение правил размещения, регистрации и эксплуатации аттракционов Кодексом города Москвы об административных правонарушениях предусмотрена административная ответственность.</w:t>
      </w:r>
    </w:p>
    <w:p>
      <w:pPr>
        <w:pStyle w:val="BodyText"/>
      </w:pPr>
      <w:r>
        <w:t xml:space="preserve">Сообщаем, что консультации по порядку оказания государственной услуги, оказываются эксплуатантам в электронном виде. На mos.ru доступна запись на онлайн-встречи с государственными инженерами-инспекторами гостехнадзора: в разделе «Услуги» необходимо открыть категорию «Документы», выбрать «Запись на консультацию и личный прием в онлайн-формате». После чего следует выбрать «Специализированная государственная инспекция по надзору за техническим состоянием самоходных машин и других видов техники Объединения административно-технических инспекций» и услугу из выпадающего списка. Далее нужно указать удобные дату и время приема (запись на онлайн-консультацию). Встречи проходят в формате видеоконференцсвязи.</w:t>
      </w:r>
    </w:p>
    <w:p>
      <w:pPr>
        <w:pStyle w:val="BodyText"/>
      </w:pPr>
      <w:r>
        <w:t xml:space="preserve">Для недопущения эксплуатации аттракционов, незарегистрированных в установленном порядке, предлагаем довести настоящую информацию до сведения всех заинтересованных лиц.</w:t>
      </w:r>
    </w:p>
    <w:p>
      <w:pPr>
        <w:pStyle w:val="BodyText"/>
      </w:pPr>
      <w:r>
        <w:br/>
      </w:r>
    </w:p>
    <w:p>
      <w:pPr>
        <w:pStyle w:val="BodyText"/>
      </w:pPr>
      <w:r>
        <w:t xml:space="preserve">Адрес страницы:</w:t>
      </w:r>
      <w:r>
        <w:t xml:space="preserve"> </w:t>
      </w:r>
      <w:hyperlink r:id="rId20">
        <w:r>
          <w:rPr>
            <w:rStyle w:val="Hyperlink"/>
          </w:rPr>
          <w:t xml:space="preserve">http://tagan.mos.ru/consumer-market/for-information-entrepreneurs/detail/12391877.html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consumer-market/for-information-entrepreneurs/detail/123918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consumer-market/for-information-entrepreneurs/detail/123918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2024-08-13T02:11:19Z</dcterms:created>
  <dcterms:modified xsi:type="dcterms:W3CDTF">2024-08-13T02:11:19Z</dcterms:modified>
</cp:coreProperties>
</file>

<file path=docProps/custom.xml><?xml version="1.0" encoding="utf-8"?>
<Properties xmlns="http://schemas.openxmlformats.org/officeDocument/2006/custom-properties" xmlns:vt="http://schemas.openxmlformats.org/officeDocument/2006/docPropsVTypes"/>
</file>