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fddaa897c6496d9cb3290e810e5895ba0c184"/>
    <w:p>
      <w:pPr>
        <w:pStyle w:val="Heading3"/>
      </w:pPr>
      <w:r>
        <w:t xml:space="preserve">Перечень предприятий бытового обслуживания, осуществляющих льготное облуживание ветеранов и иных льготных категорий граждан</w:t>
      </w:r>
    </w:p>
    <w:p>
      <w:pPr>
        <w:pStyle w:val="FirstParagraph"/>
      </w:pPr>
      <w:r>
        <w:t xml:space="preserve">04.02.2016</w:t>
      </w:r>
    </w:p>
    <w:p>
      <w:pPr>
        <w:pStyle w:val="BodyText"/>
      </w:pPr>
      <w:r>
        <w:t xml:space="preserve">Подготовлен актуализированный выборочный Перечень предприятий бытового обслуживания, осуществляющих льготное облуживание ветеранов и иных льготных категорий граждан.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http://tagan.mos.ru/consumer-market/for-residents/detail/2490476.html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umer-market/for-residents/detail/24904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umer-market/for-residents/detail/24904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2024-05-07T11:11:47Z</dcterms:created>
  <dcterms:modified xsi:type="dcterms:W3CDTF">2024-05-07T11:11:47Z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