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a99607039f19f4d091591cc194b917a56991e"/>
    <w:p>
      <w:pPr>
        <w:pStyle w:val="Heading3"/>
      </w:pPr>
      <w:r>
        <w:t xml:space="preserve">Выделен генетический материал возбудителя африканской чумы свиней при исследовании проб патологического материала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t xml:space="preserve">Управление Федеральной службы ветеринарному и фитосанитарному надзору сообщает, что 26.12.2014г. ГНУ «ВНИВВиМ» Россельхозакадемии (г. Покров) выделен генетический материал возбудителя африканской чумы свиней при исследовании проб патологического материала, отобранного от павших поросят, принадлежавших ООО «Агроресурс-Воронеж» Нижнедевицкого района Воронежской области, и 27.12.2014г. при исследовании проб патологического материала, отобранного от павших свиней, принадлежавших ЗАО «Орелсельпром» (Мценский район, Орловская область).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http://tagan.mos.ru/consumer-market/the-cps-informs/detail/1553075.html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55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55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2024-09-15T06:05:04Z</dcterms:created>
  <dcterms:modified xsi:type="dcterms:W3CDTF">2024-09-15T06:05:04Z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