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езависимая-оценка-пожарных-рисков"/>
    <w:p>
      <w:pPr>
        <w:pStyle w:val="Heading3"/>
      </w:pPr>
      <w:r>
        <w:t xml:space="preserve">Независимая оценка пожарных рисков</w:t>
      </w:r>
    </w:p>
    <w:p>
      <w:pPr>
        <w:pStyle w:val="FirstParagraph"/>
      </w:pPr>
      <w:r>
        <w:t xml:space="preserve">18.07.2014</w:t>
      </w:r>
    </w:p>
    <w:p>
      <w:pPr>
        <w:pStyle w:val="BodyText"/>
      </w:pPr>
      <w:r>
        <w:t xml:space="preserve">В Российской Федерации разработана и одобрена правительством Российской Федерации концепция создания системы независимой оценки рисков в области пожарной безопасности.</w:t>
      </w:r>
    </w:p>
    <w:p>
      <w:pPr>
        <w:pStyle w:val="BodyText"/>
      </w:pPr>
      <w:r>
        <w:t xml:space="preserve">Концепция представляет собой систему взглядов на проблемы создания и развития системы независимой оценки рисков в области пожарной безопасности и содержит обоснованные цели, задачи и направления развития системы независимой оценки рисков в области пожарной безопасности в Российской Федерации.</w:t>
      </w:r>
    </w:p>
    <w:p>
      <w:pPr>
        <w:pStyle w:val="BodyText"/>
      </w:pPr>
      <w:r>
        <w:rPr>
          <w:u w:val="single"/>
          <w:bCs/>
          <w:b/>
        </w:rPr>
        <w:t xml:space="preserve">Независимая оценка пожарного риска (Пожарный аудит)</w:t>
      </w:r>
      <w:r>
        <w:t xml:space="preserve">- это альтернатива проверке объекта пожарной инспекцией, только без наложения штрафов и приостановки деятельности помещений.</w:t>
      </w:r>
    </w:p>
    <w:p>
      <w:pPr>
        <w:pStyle w:val="BodyText"/>
      </w:pPr>
      <w:r>
        <w:t xml:space="preserve">С принятием Федерального Закона о пожарной безопасности (123-ФЗ от 22 июля 2008 г. - "Технический регламент о требованиях пожарной безопасности" ст. 144 п.1) и выходом Постановления Правительства РФ N 304 от 07.04.09 г.</w:t>
      </w:r>
    </w:p>
    <w:p>
      <w:pPr>
        <w:pStyle w:val="BodyText"/>
      </w:pPr>
      <w:r>
        <w:t xml:space="preserve">("Об утверждении Правил оценки соответствия объектов защиты (продукции) установленным требованиям пожарной безопасности путем независимой оценки пожарного риска") собственнику предоставляется выбор: либо его объект, как и раньше, останется под надзором пожарной охраны, либо он будет обслуживаться, на договорной основе аудиторской организацией, имеющей соответствующую аккредитацию МЧС РФ (На данные организации частично переложены функции Госпожнадзора в плане проверки противопожарного состояния объекта защиты и выдачи соответствующего заключения).</w:t>
      </w:r>
    </w:p>
    <w:p>
      <w:pPr>
        <w:pStyle w:val="BodyText"/>
      </w:pPr>
      <w:r>
        <w:t xml:space="preserve">Как показывает практика при проведении проверки объекта Госпожнадзором, практически в каждом случае за нарушение требований пожарной безопасности следует наложение административного взыскания на должностных лиц предприятия и на само юридическое лицо.</w:t>
      </w:r>
    </w:p>
    <w:p>
      <w:pPr>
        <w:pStyle w:val="BodyText"/>
      </w:pPr>
      <w:r>
        <w:t xml:space="preserve">В связи с вступлением 17.06.2011 г. в законную силу Федерального закона РФ № 120-ФЗ "О внесении изменений в Кодекс Российской Федерации об административных правонарушениях по вопросам пожарной безопасности", штрафы за нарушение правил пожарной безопасности составят на:</w:t>
      </w:r>
    </w:p>
    <w:p>
      <w:pPr>
        <w:pStyle w:val="BodyText"/>
      </w:pPr>
      <w:r>
        <w:t xml:space="preserve">- граждан - в размере от 1500 до 5000 рублей (вместо от 500 до 1500);</w:t>
      </w:r>
    </w:p>
    <w:p>
      <w:pPr>
        <w:pStyle w:val="BodyText"/>
      </w:pPr>
      <w:r>
        <w:t xml:space="preserve">- должностных лиц - от 6000 до 40000 рублей (вместо от 1000 до 2000);</w:t>
      </w:r>
    </w:p>
    <w:p>
      <w:pPr>
        <w:pStyle w:val="BodyText"/>
      </w:pPr>
      <w:r>
        <w:t xml:space="preserve">- лиц, осуществляющих предпринимательскую деятельность - от 20 000 до 40 000 рублей.</w:t>
      </w:r>
    </w:p>
    <w:p>
      <w:pPr>
        <w:pStyle w:val="BodyText"/>
      </w:pPr>
      <w:r>
        <w:t xml:space="preserve">или приостановление деятельности на срок до 90 суток (вместо от 500 до 1500);</w:t>
      </w:r>
    </w:p>
    <w:p>
      <w:pPr>
        <w:pStyle w:val="BodyText"/>
      </w:pPr>
      <w:r>
        <w:t xml:space="preserve">-на юридических лиц – от 150 000 до 500 000 рублей или административное приостановление деятельности на срок до 90 суток (вместо от 10 000 до 20 000).</w:t>
      </w:r>
    </w:p>
    <w:p>
      <w:pPr>
        <w:pStyle w:val="BodyText"/>
      </w:pPr>
      <w:r>
        <w:t xml:space="preserve">При административном приостановлении деятельности приостанавливается функционирование помещений, где выявлено нарушение требований пожарной безопасности, а иногда и предприятие в целом.</w:t>
      </w:r>
    </w:p>
    <w:p>
      <w:pPr>
        <w:pStyle w:val="BodyText"/>
      </w:pPr>
      <w:r>
        <w:t xml:space="preserve">В дальнейшем, помещения, функционирование которых было запрещено, могут быть открыты для устранения выявленных нарушений требований пожарной безопасности, только по истечении срока приостановки.</w:t>
      </w:r>
    </w:p>
    <w:p>
      <w:pPr>
        <w:pStyle w:val="BodyText"/>
      </w:pPr>
      <w:r>
        <w:t xml:space="preserve">Нетрудно посчитать какие убытки понесет предприятие в результате простоя объекта.</w:t>
      </w:r>
    </w:p>
    <w:p>
      <w:pPr>
        <w:pStyle w:val="BodyText"/>
      </w:pPr>
      <w:r>
        <w:t xml:space="preserve">Далее, по истечении срока устранения недостатков указанного в предписании (обычно 1 год), последует контрольная проверка, в результате которой проверяется исполнение ранее выданного предписания, а так же, попутно, выявляются новые нарушения требований пожарной безопасности, за которые накладываются вышеуказанные санкции.</w:t>
      </w:r>
    </w:p>
    <w:p>
      <w:pPr>
        <w:pStyle w:val="BodyText"/>
      </w:pPr>
      <w:r>
        <w:t xml:space="preserve">В дальнейшем может последовать внеплановая проверка соответственно со всеми вытекающими отсюда последствиями.</w:t>
      </w:r>
    </w:p>
    <w:p>
      <w:pPr>
        <w:pStyle w:val="BodyText"/>
      </w:pPr>
      <w:r>
        <w:t xml:space="preserve">Получается что объект проверяется практически каждый год.</w:t>
      </w:r>
    </w:p>
    <w:p>
      <w:pPr>
        <w:pStyle w:val="BodyText"/>
      </w:pPr>
      <w:r>
        <w:rPr>
          <w:u w:val="single"/>
          <w:bCs/>
          <w:b/>
        </w:rPr>
        <w:t xml:space="preserve">Получив ПОЛОЖИТЕЛЬНОЕ ЗАКЛЮЧЕНИЕ с выводом о выполнении условий соответствия объекта защиты обязательным требованиям пожарной безопасности, вы освобождаетесь от проверок со стороны органов государственного пожарного надзора сроком на три года (Даже если Ваша организация была в утвержденном ГПН годовом плане по проверке объектов).</w:t>
      </w:r>
    </w:p>
    <w:p>
      <w:pPr>
        <w:pStyle w:val="BodyText"/>
      </w:pPr>
      <w:r>
        <w:t xml:space="preserve">Соответственно чтобы получить положительное заключение необходимо выполнить перечень предложенных мероприятий по приведению объекта в пожаробезопасное состояние.</w:t>
      </w:r>
    </w:p>
    <w:p>
      <w:pPr>
        <w:pStyle w:val="BodyText"/>
      </w:pPr>
      <w:r>
        <w:t xml:space="preserve">По истечении</w:t>
      </w:r>
      <w:r>
        <w:t xml:space="preserve"> </w:t>
      </w:r>
      <w:r>
        <w:rPr>
          <w:u w:val="single"/>
          <w:bCs/>
          <w:b/>
        </w:rPr>
        <w:t xml:space="preserve">срока действия заключения (3 года)</w:t>
      </w:r>
      <w:r>
        <w:t xml:space="preserve"> </w:t>
      </w:r>
      <w:r>
        <w:t xml:space="preserve">процедура пожарного аудита повторяется и при соответствии объекта обязательным требованиям пожарной безопасности выдается новое заключение сроком на три года.</w:t>
      </w:r>
    </w:p>
    <w:p>
      <w:pPr>
        <w:pStyle w:val="BodyText"/>
      </w:pPr>
      <w:r>
        <w:t xml:space="preserve">Хочется отметить, что если собственник объекта по каким- либо соображениям не желает или не может выполнить предложенные мероприятия, например: Монтаж дорогостоящей автоматической системы пожаротушения; увеличение ширины коридора или дверных проемов эвакуационных выходов и т.д., он может с помощью расчетов пожарного риска доказать что его объект находится в пожаробезопасном состоянии и привести в качестве доказательства те технические решения, которые он принял для достижения этого.</w:t>
      </w:r>
    </w:p>
    <w:p>
      <w:pPr>
        <w:pStyle w:val="BodyText"/>
      </w:pPr>
      <w:r>
        <w:t xml:space="preserve">Важно! В текущем году планируется принятие Федерального закона "Об обязательном страховании ответственности перед третьими лицами в результате возникновения пожара".</w:t>
      </w:r>
    </w:p>
    <w:p>
      <w:pPr>
        <w:pStyle w:val="BodyText"/>
      </w:pPr>
      <w:r>
        <w:t xml:space="preserve">Данный Федеральный Закон предусматривает, что каждое юридическое лицо должно застраховать свою ответственность перед третьими лицами в результате возможного возникновения пожара. Деятельность организаций не имеющих страхового полиса будет прекращена. Таким образом государство снимает с себя ответственность за компенсацию ущерба пострадавшим в результате пожара, перекладывая эту обязанность на плечи страховых организаций. Последние, оценивая свои риски при страховании юридического лица, будут требовать проведения на объекте страхования "Независимой оценки пожарного риска" (Аудит пожарной безопасности) с выдачей заключения о противопожарном состоянии объекта защиты.</w:t>
      </w:r>
    </w:p>
    <w:p>
      <w:pPr>
        <w:pStyle w:val="BodyText"/>
      </w:pPr>
      <w:r>
        <w:t xml:space="preserve">От данного заключения будет зависеть страховой коэффициент, который будет варьироваться в пределах 0,1% - 3% от балансовой стоимости объекта страхования.</w:t>
      </w:r>
    </w:p>
    <w:p>
      <w:pPr>
        <w:pStyle w:val="BodyText"/>
      </w:pPr>
      <w:r>
        <w:t xml:space="preserve">Другими словами, для получения заключения о противопожарном состоянии объекта организации необходимо провести Аудит пожарной безопасности.</w:t>
      </w:r>
    </w:p>
    <w:p>
      <w:pPr>
        <w:pStyle w:val="BodyText"/>
      </w:pPr>
      <w:r>
        <w:t xml:space="preserve">Чтобы заключение аудиторской проверки было положительным необходимо устранить все замечания выявленные в ходе проверки.</w:t>
      </w:r>
    </w:p>
    <w:p>
      <w:pPr>
        <w:pStyle w:val="BodyText"/>
      </w:pPr>
      <w:r>
        <w:t xml:space="preserve">Соответственно при положительном заключении страховой коэффициент будет равен 0,1%.</w:t>
      </w:r>
    </w:p>
    <w:p>
      <w:pPr>
        <w:pStyle w:val="BodyText"/>
      </w:pPr>
      <w:r>
        <w:t xml:space="preserve">Таким образом, государство приводит в действие механизм, при котором собственник, непосредственно заинтересован в приведении своего объекта в пожаробезопасное состояние и поддержании должного противопожарного режима.</w:t>
      </w:r>
    </w:p>
    <w:p>
      <w:pPr>
        <w:pStyle w:val="BodyText"/>
      </w:pPr>
      <w:r>
        <w:t xml:space="preserve">Независимую оценку пожарного риска (Аудит пожарной безопасности) имеют право выполнять экспертные организации, аккредитованные в установленном порядке МЧС РФ и имеющие соответствующее свидетельство.</w:t>
      </w:r>
    </w:p>
    <w:p>
      <w:pPr>
        <w:pStyle w:val="BodyText"/>
      </w:pPr>
      <w:r>
        <w:rPr>
          <w:u w:val="single"/>
          <w:bCs/>
          <w:b/>
        </w:rPr>
        <w:t xml:space="preserve">Процесс независимой оценки рисков включает в себя:</w:t>
      </w:r>
    </w:p>
    <w:p>
      <w:pPr>
        <w:pStyle w:val="BodyText"/>
      </w:pPr>
      <w:r>
        <w:t xml:space="preserve">анализ выполнения требований законодательных и иных нормативных правовых актов по вопросам обеспечения пожарной безопасности;</w:t>
      </w:r>
    </w:p>
    <w:p>
      <w:pPr>
        <w:pStyle w:val="BodyText"/>
      </w:pPr>
      <w:r>
        <w:t xml:space="preserve">проверку документального и фактического соответствия систем обеспечения пожарной безопасности объекта защиты, установленным требованиям;</w:t>
      </w:r>
    </w:p>
    <w:p>
      <w:pPr>
        <w:pStyle w:val="BodyText"/>
      </w:pPr>
      <w:r>
        <w:t xml:space="preserve">проверку наличия на объекте защиты необходимых организационно-плановых документов по предупреждению пожаров;</w:t>
      </w:r>
    </w:p>
    <w:p>
      <w:pPr>
        <w:pStyle w:val="BodyText"/>
      </w:pPr>
      <w:r>
        <w:t xml:space="preserve">анализ подготовленности руководителей и персонала объекта защиты, в области пожарной безопасности;</w:t>
      </w:r>
    </w:p>
    <w:p>
      <w:pPr>
        <w:pStyle w:val="BodyText"/>
      </w:pPr>
      <w:r>
        <w:t xml:space="preserve">проверку наличия средств пожаротушения.</w:t>
      </w:r>
    </w:p>
    <w:p>
      <w:pPr>
        <w:pStyle w:val="BodyText"/>
      </w:pPr>
      <w:r>
        <w:t xml:space="preserve">По результатам проведения независимой оценки рисков оформляется заключение о противопожарном состоянии объекта.</w:t>
      </w:r>
    </w:p>
    <w:p>
      <w:pPr>
        <w:pStyle w:val="BodyText"/>
      </w:pPr>
      <w:r>
        <w:t xml:space="preserve">Административный регламент Министерства РФ по делам гражданской обороны, чрезвычайным ситуациям и ликвидации последствий стихийных бедствий:</w:t>
      </w:r>
    </w:p>
    <w:p>
      <w:pPr>
        <w:pStyle w:val="BodyText"/>
      </w:pPr>
      <w:r>
        <w:rPr>
          <w:u w:val="single"/>
          <w:bCs/>
          <w:b/>
        </w:rPr>
        <w:t xml:space="preserve">п.25. Органы ГПН не планируют мероприятия по контролю (надзору) объекта защиты на все время действия заключения по независимой оценке пожарного риска (аудита пожарной безопасности)., а именно 3(три) года.</w:t>
      </w:r>
    </w:p>
    <w:p>
      <w:pPr>
        <w:pStyle w:val="BodyText"/>
      </w:pPr>
      <w:r>
        <w:rPr>
          <w:u w:val="single"/>
          <w:bCs/>
          <w:b/>
        </w:rPr>
        <w:t xml:space="preserve">Орган ГПН не вправе оценивать полноту и достоверность заключения о независимой оценке пожарного риска на объекте надзора.</w:t>
      </w:r>
    </w:p>
    <w:p>
      <w:pPr>
        <w:pStyle w:val="BodyText"/>
      </w:pPr>
      <w:r>
        <w:rPr>
          <w:u w:val="single"/>
          <w:bCs/>
          <w:b/>
        </w:rPr>
        <w:t xml:space="preserve">п.29. В перспективные, ежегодные планы могут вноситься изменения и дополнения, необходимость которых определяется результатами проведения независимой оценки рисков в области пожарной безопасности, выполненной аккредитованными в установленном порядке организациями (т.е. если предприятие находилось в плане провок ГПН и до наступления даты проверки провело у себя Пожарный аудит и имеет положительное заключение, то оно исключается из текущего плана проверок);</w:t>
      </w:r>
    </w:p>
    <w:p>
      <w:pPr>
        <w:pStyle w:val="BodyText"/>
      </w:pPr>
      <w:r>
        <w:rPr>
          <w:u w:val="single"/>
          <w:bCs/>
          <w:b/>
        </w:rPr>
        <w:t xml:space="preserve">п.47. В случае поступления в органы ГПН заключения о независимой оценке пожарного риска на объекте надзора, выполненного аккредитованной в установленном порядке организацией, с выводом о выполнении условий соответствия объекта защиты обязательным требованиям пожарной безопасности, до истечения срока исполнения ранее выданного предписания по устранению нарушений, внеплановая проверка с целью контроля исполнения ранее выданного предписания по устранению нарушений или по снятию с производства не проводится.</w:t>
      </w:r>
    </w:p>
    <w:p>
      <w:pPr>
        <w:pStyle w:val="BodyText"/>
      </w:pPr>
      <w:r>
        <w:rPr>
          <w:u w:val="single"/>
          <w:bCs/>
          <w:b/>
        </w:rPr>
        <w:t xml:space="preserve">п.74. Наличие в органе ГПН или представление заявителем заключения по результатам независимой оценки рисков в области пожарной безопасности на объекте надзора, выполненной аккредитованной в установленном порядке организацией, с датой выдачи не позднее трех лет со дня подачи заявления и с выводом о выполнении условий соответствия объекта защиты обязательным требованиям пожарной безопасности является достаточным основанием для выдачи заключения о соответствии объекта защиты обязательным требованиям пожарной безопасности.</w:t>
      </w:r>
    </w:p>
    <w:p>
      <w:pPr>
        <w:pStyle w:val="BodyText"/>
      </w:pPr>
      <w:r>
        <w:rPr>
          <w:u w:val="single"/>
          <w:bCs/>
          <w:b/>
        </w:rPr>
        <w:t xml:space="preserve">Орган ГПН не вправе оценивать полноту и достоверность заключения о независимой оценке пожарного риска на объекте надзора.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http://tagan.mos.ru/fire-safety/detail/1130424.html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fire-safety/detail/11304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fire-safety/detail/11304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2025-06-01T23:59:11Z</dcterms:created>
  <dcterms:modified xsi:type="dcterms:W3CDTF">2025-06-01T23:59:11Z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