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29947ce9ebf842bc11fb3261f62cdc7305c76"/>
    <w:p>
      <w:pPr>
        <w:pStyle w:val="Heading3"/>
      </w:pPr>
      <w:r>
        <w:t xml:space="preserve">Уточнен порядок отнесения условий труда к классам и подклассам при воздействии биологического фактора</w:t>
      </w:r>
    </w:p>
    <w:p>
      <w:pPr>
        <w:pStyle w:val="FirstParagraph"/>
      </w:pPr>
      <w:r>
        <w:t xml:space="preserve">26.02.2015</w:t>
      </w:r>
    </w:p>
    <w:p>
      <w:pPr>
        <w:pStyle w:val="BodyText"/>
      </w:pPr>
      <w:r>
        <w:t xml:space="preserve">Приказом Минтруда России от 20.01.2015 № 24н внесены изменения в Методику проведения специальной оценки условий труда и Классификатор вредных и (или) опасных производственных факторов, утв. приказом Министерства труда и социальной защиты РФ от 24.01.2014 № 33н</w:t>
      </w:r>
    </w:p>
    <w:p>
      <w:pPr>
        <w:pStyle w:val="BodyText"/>
      </w:pPr>
      <w:r>
        <w:t xml:space="preserve">Предусмотрено, что отнесение условий труда к классу (подклассу) условий труда при воздействии биологического фактора (работы с микроорганизмами-продуцентами, живыми клетками и спорами, содержащимися в бактериальных препаратах) осуществляется в зависимости от превышения значений фактической концентрации микроорганизмов-продуцентов, бактериальных препаратов и их компонентов в воздухе рабочей зоны над значениями ПДК данных веществ, установленными соответствующими гигиеническими нормативами.</w:t>
      </w:r>
    </w:p>
    <w:p>
      <w:pPr>
        <w:pStyle w:val="BodyText"/>
      </w:pPr>
      <w:r>
        <w:t xml:space="preserve">Отнесение условий труда к классу (подклассу) условий труда при воздействии биологического фактора (работы с патогенными микроорганизмами) осуществляется независимо от концентрации патогенных микроорганизмов и без проведения исследований (испытаний) и измерений в отношении:</w:t>
      </w:r>
    </w:p>
    <w:p>
      <w:pPr>
        <w:pStyle w:val="BodyText"/>
      </w:pPr>
      <w:r>
        <w:t xml:space="preserve">· рабочих мест организаций, осуществляющих деятельность в области использования возбудителей инфекционных заболеваний человека и животных или в замкнутых системах генно-инженерно-модифицированных организмов III и IV степеней потенциальной опасности при наличии соответствующих разрешительных документов (лицензии) на право осуществления такой деятельности;</w:t>
      </w:r>
    </w:p>
    <w:p>
      <w:pPr>
        <w:pStyle w:val="BodyText"/>
      </w:pPr>
      <w:r>
        <w:t xml:space="preserve">· рабочих мест организаций, осуществляющих деятельность в области использования возбудителей инфекционных заболеваний человека и животных или в замкнутых системах генно-инженерно-модифицированных организмов III и IV степеней потенциальной опасности при наличии соответствующих разрешительных документов (лицензии) на право осуществления такой деятельности;</w:t>
      </w:r>
    </w:p>
    <w:p>
      <w:pPr>
        <w:pStyle w:val="BodyText"/>
      </w:pPr>
      <w:r>
        <w:t xml:space="preserve">· рабочих мест организаций, осуществляющих деятельность в области использования возбудителей инфекционных заболеваний человека и животных или в замкнутых системах генно-инженерно-модифицированных организмов III и IV степеней потенциальной опасности при наличии соответствующих разрешительных документов (лицензии) на право осуществления такой деятельности;</w:t>
      </w:r>
    </w:p>
    <w:p>
      <w:pPr>
        <w:pStyle w:val="BodyText"/>
      </w:pPr>
      <w:r>
        <w:t xml:space="preserve">· рабочих мест организаций, осуществляющих деятельность в области использования возбудителей инфекционных заболеваний человека и животных или в замкнутых системах генно-инженерно-модифицированных организмов III и IV степеней потенциальной опасности при наличии соответствующих разрешительных документов (лицензии) на право осуществления такой деятельности;</w:t>
      </w:r>
    </w:p>
    <w:p>
      <w:pPr>
        <w:pStyle w:val="BodyText"/>
      </w:pPr>
      <w:r>
        <w:t xml:space="preserve">· рабочих мест организаций, осуществляющих деятельность в области использования в замкнутых системах генно-инженерно-модифицированных организмов II степени потенциальной опасности; рабочих мест медицинских и иных работников, непосредственно осуществляющих медицинскую деятельность;</w:t>
      </w:r>
    </w:p>
    <w:p>
      <w:pPr>
        <w:pStyle w:val="BodyText"/>
      </w:pPr>
      <w:r>
        <w:t xml:space="preserve">· рабочих мест работников, непосредственно осуществляющих ветеринарную деятельность, государственный ветеринарный надзор или проводящих ветеринарно-санитарную экспертизу.</w:t>
      </w:r>
    </w:p>
    <w:p>
      <w:pPr>
        <w:pStyle w:val="BodyText"/>
      </w:pPr>
      <w:r>
        <w:t xml:space="preserve">Также в новой редакции приведена таблица, в соответствии с которой осуществляется отнесение условий труда к классу (подклассу) условий труда при воздействии биологического фактора.</w:t>
      </w:r>
    </w:p>
    <w:p>
      <w:pPr>
        <w:pStyle w:val="BodyText"/>
      </w:pPr>
      <w:r>
        <w:t xml:space="preserve">Кроме того, уточнено наименование производственного фактора, касающегося освещенности рабочей поверхности.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http://tagan.mos.ru/labour-protection/news/detail/1614039.html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labour-protection/news/detail/1614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labour-protection/news/detail/1614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2025-08-03T19:46:58Z</dcterms:created>
  <dcterms:modified xsi:type="dcterms:W3CDTF">2025-08-03T19:46:58Z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