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ffc34cfd4077eac6229e65dd54edd549a38c4"/>
    <w:p>
      <w:pPr>
        <w:pStyle w:val="Heading3"/>
      </w:pPr>
      <w:r>
        <w:t xml:space="preserve">В минувшие выходные состоялась традиционная елка главы управы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Маленькие жители Таганки посмотрели детское новогоднее представление “День рождения Деда Мороза”, поучаствовали в играх и конкурсах.</w:t>
      </w:r>
      <w:r>
        <w:br/>
      </w:r>
      <w:r>
        <w:br/>
      </w:r>
      <w:r>
        <w:t xml:space="preserve">Пользуясь случаем, глава управы поздравил родителей ребят с праздниками и вручил благодарственные письма некоммерческим организациям, наиболее успешно реализующим социальные проекты. В частности, отметил большой вклад в развитие культурно-досуговой жизни Таганского района дома культуры Стимул, автономной некоммерческой организации "Шаг за Шагом" и детского центра "Волшебная Страна".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http://tagan.mos.ru/presscenter/articles-and-interviews/detail/12080094.html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080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080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2024-01-08T12:25:28Z</dcterms:created>
  <dcterms:modified xsi:type="dcterms:W3CDTF">2024-01-08T12:25:28Z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