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0c41677d17d22f853a804fda2401d967e2ac6"/>
    <w:p>
      <w:pPr>
        <w:pStyle w:val="Heading3"/>
      </w:pPr>
      <w:r>
        <w:t xml:space="preserve">Глава управы провел тематический прием пожилых граждан</w:t>
      </w:r>
    </w:p>
    <w:p>
      <w:pPr>
        <w:pStyle w:val="FirstParagraph"/>
      </w:pPr>
      <w:r>
        <w:t xml:space="preserve">28.11.2024</w:t>
      </w:r>
    </w:p>
    <w:p>
      <w:pPr>
        <w:pStyle w:val="BodyText"/>
      </w:pPr>
      <w:r>
        <w:t xml:space="preserve">Глава управы Сергей Сальников провел тематический прием пожилых граждан. В рамках приемах приема совместно с сотрудниками ГБУ "Жилищник Таганского района" и членами Совета ветеранов обсудили изменения в системе ЖКХ и порядке проведения собраний собственников жилых помещений. Сергей Сальников подробно ответил на вопросы, касающиеся очно-заочных общедомовых собраний и использования системы "Электронный дом".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http://tagan.mos.ru/presscenter/articles-and-interviews/detail/12691113.html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6911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presscenter/articles-and-interviews/detail/126911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2024-12-30T06:43:04Z</dcterms:created>
  <dcterms:modified xsi:type="dcterms:W3CDTF">2024-12-30T06:43:04Z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