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27d0287e251fe516feb6d6e37b25ec54ea40d"/>
    <w:p>
      <w:pPr>
        <w:pStyle w:val="Heading3"/>
      </w:pPr>
      <w:r>
        <w:t xml:space="preserve">Управа района окажет содействие в реализации социально значимых проектов Молодежной палаты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Глава управы Сергей Сальников провел встречу с Молодежной палатой Таганского района. Ребята рассказали о своей текущей деятельности, обсудили планы на будущее.</w:t>
      </w:r>
      <w:r>
        <w:br/>
      </w:r>
      <w:r>
        <w:br/>
      </w:r>
      <w:r>
        <w:t xml:space="preserve">Сергей Сальников отметил, что Молодежная палата одна из лучших в Москве и выразил намерения оказывать всю необходимую поддержку со стороны управы для реализации социально значимых проектов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http://tagan.mos.ru/presscenter/articles-and-interviews/detail/12693886.html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693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693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2024-11-29T12:04:07Z</dcterms:created>
  <dcterms:modified xsi:type="dcterms:W3CDTF">2024-11-29T12:04:07Z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