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ae5f5c68fda2202de19d434f70ea121ae13c4"/>
    <w:p>
      <w:pPr>
        <w:pStyle w:val="Heading3"/>
      </w:pPr>
      <w:r>
        <w:t xml:space="preserve">Депутаты согласовали адресный перечь по посадке зеленых насаждений на дворовых территориях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Глава управы Сергей Сальников принял участие в работе очередного заседания Совета депутатов Таганского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Депутаты рассмотрели пять вопросов повестки и заслушали отчет генерального директора Государственного бюджетного учреждения города Москвы «Объединение культурных и досуговых центров Центрального административного округа» о работе в 2024 году.</w:t>
      </w:r>
      <w:r>
        <w:br/>
      </w:r>
      <w:r>
        <w:br/>
      </w:r>
      <w:r>
        <w:t xml:space="preserve">Кроме того, на заседании согласованы: схема размещения сезонного кафе по адресу: ул. Воронцовская, 21 стр1 и адресный перечь по посадке зеленых насаждений на дворовых территориях Таганского района в 2025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http://tagan.mos.ru/presscenter/articles-and-interviews/detail/12935098.html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935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935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2025-04-25T02:33:11Z</dcterms:created>
  <dcterms:modified xsi:type="dcterms:W3CDTF">2025-04-25T02:33:11Z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