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сибирская-язва-животных"/>
    <w:p>
      <w:pPr>
        <w:pStyle w:val="Heading3"/>
      </w:pPr>
      <w:r>
        <w:t xml:space="preserve">Сибирская язва животных</w:t>
      </w:r>
    </w:p>
    <w:p>
      <w:pPr>
        <w:pStyle w:val="FirstParagraph"/>
      </w:pPr>
      <w:r>
        <w:t xml:space="preserve">05.08.2024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http://tagan.mos.ru/presscenter/important-information/detail/12505776.html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Таганского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agan.mos.ru" TargetMode="External" /><Relationship Type="http://schemas.openxmlformats.org/officeDocument/2006/relationships/hyperlink" Id="rId20" Target="http://tagan.mos.ru/presscenter/important-information/detail/1250577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agan.mos.ru" TargetMode="External" /><Relationship Type="http://schemas.openxmlformats.org/officeDocument/2006/relationships/hyperlink" Id="rId20" Target="http://tagan.mos.ru/presscenter/important-information/detail/1250577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2024-11-14T03:10:59Z</dcterms:created>
  <dcterms:modified xsi:type="dcterms:W3CDTF">2024-11-14T03:10:59Z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