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9a5468f17df0b046447775efcb6a2b60a7aa1"/>
    <w:p>
      <w:pPr>
        <w:pStyle w:val="Heading3"/>
      </w:pPr>
      <w:r>
        <w:t xml:space="preserve">Рекомендации по предупреждению распространения африканской чумы свиней среди диких кабанов во время охоты</w:t>
      </w:r>
    </w:p>
    <w:p>
      <w:pPr>
        <w:pStyle w:val="FirstParagraph"/>
      </w:pPr>
      <w:r>
        <w:t xml:space="preserve">26.03.2021</w:t>
      </w:r>
    </w:p>
    <w:p>
      <w:pPr>
        <w:numPr>
          <w:ilvl w:val="0"/>
          <w:numId w:val="1001"/>
        </w:numPr>
        <w:pStyle w:val="Compact"/>
      </w:pPr>
    </w:p>
    <w:p>
      <w:pPr>
        <w:numPr>
          <w:ilvl w:val="1"/>
          <w:numId w:val="1002"/>
        </w:numPr>
        <w:pStyle w:val="Compact"/>
      </w:pPr>
      <w:r>
        <w:t xml:space="preserve">При оформлении договора (путевки) на оказание услуг по организации охоты уточнять у лиц, планирующих осуществление в конкретном охотничьем хозяйстве охоты, их нахождение ранее в субъектах Российской Федерации, в которых были зафиксированы вспышки африканской чумы свиней (далее - АЧС).</w:t>
      </w:r>
    </w:p>
    <w:p>
      <w:pPr>
        <w:numPr>
          <w:ilvl w:val="1"/>
          <w:numId w:val="1002"/>
        </w:numPr>
        <w:pStyle w:val="Compact"/>
      </w:pPr>
      <w:r>
        <w:t xml:space="preserve">В случае подтверждения информации, указанной в п. 1, от лиц, планирующих осуществить охоту на территории охотничьих хозяйств в субъектах Российской Федерации, благополучных по указанному заболеванию, накануне (перед началом) охоты рекомендуется обеспечить механическую очистку и дезинфекцию обуви, ножей, замену элементов охотничьей экипировки (верхняя одежда, перчатки и т.д.), в которых ранее возможно осуществлялась охота на территории неблагополучных по АЧС охотничьих хозяйств и с использованием которых осуществлялась разделка туш добытых кабанов.</w:t>
      </w:r>
    </w:p>
    <w:p>
      <w:pPr>
        <w:numPr>
          <w:ilvl w:val="1"/>
          <w:numId w:val="1002"/>
        </w:numPr>
        <w:pStyle w:val="Compact"/>
      </w:pPr>
      <w:r>
        <w:t xml:space="preserve">В случае использования лицами, предполагающими осуществлять охоту на территории благополучных по АЧС охотничьих хозяйств, для перевозки туш добытых кабанов или частей туш автотранспорта, использовавшегося ранее в неблагополучных по АЧС охотничьих хозяйствах, охотникам и/или лицам, осуществляющим деятельность в сфере охотничьего хозяйства, рекомендуется обеспечить дезинфекцию транспорта и его багажного отделения или обеспечить недопущение нахождения и использования такого автотранспорта на территории охотничьего хозяйства.</w:t>
      </w:r>
    </w:p>
    <w:p>
      <w:pPr>
        <w:numPr>
          <w:ilvl w:val="1"/>
          <w:numId w:val="1002"/>
        </w:numPr>
        <w:pStyle w:val="Compact"/>
      </w:pPr>
      <w:r>
        <w:t xml:space="preserve">Охотникам и/или лицам, осуществляющим деятельность в сфере охотничьего хозяйства, во взаимодействии с органом управления ветеринарией субъекта Российской Федерации обеспечить проведение ветеринарно-санитарной экспертизы добытых кабанов.</w:t>
      </w:r>
    </w:p>
    <w:p>
      <w:pPr>
        <w:numPr>
          <w:ilvl w:val="1"/>
          <w:numId w:val="1002"/>
        </w:numPr>
        <w:pStyle w:val="Compact"/>
      </w:pPr>
      <w:r>
        <w:t xml:space="preserve">Не осуществлять закрытие лицензии в случае добычи животных без проведения ветеринарно-санитарной экспертизы добытых кабанов.</w:t>
      </w:r>
    </w:p>
    <w:p>
      <w:pPr>
        <w:numPr>
          <w:ilvl w:val="1"/>
          <w:numId w:val="1002"/>
        </w:numPr>
        <w:pStyle w:val="Compact"/>
      </w:pPr>
      <w:r>
        <w:t xml:space="preserve">Охотникам и/или лицам, осуществляющим деятельность в сфере охотничьего хозяйства, по согласованию с органом управления ветеринарией субъекта Российской Федерации определить места и уничтожить внутренности добытых кабанов, шкуры и другие побочные продукты охоты, не используемые в пищу людям, любым способом, не допускающим их растаскивания дикими и домашними животными (сжигание, закапывание на глубину не менее 1,5 м), с обязательной дезинфекцией мест уничтожения или захоронения с использованием средств, обеспечивающих уничтожение вируса АЧС.</w:t>
      </w:r>
    </w:p>
    <w:p>
      <w:pPr>
        <w:numPr>
          <w:ilvl w:val="1"/>
          <w:numId w:val="1002"/>
        </w:numPr>
        <w:pStyle w:val="Compact"/>
      </w:pPr>
      <w:r>
        <w:t xml:space="preserve">Разделку туш добываемых животных осуществлять централизованно в обустроенных на территории охотничьих хозяйств местах, где полы и стены помещений, предназначенных для разделки туш добытых животных, позволяют проводить неоднократную мойку и дезинфекцию.</w:t>
      </w:r>
    </w:p>
    <w:p>
      <w:pPr>
        <w:pStyle w:val="FirstParagraph"/>
      </w:pPr>
      <w:r>
        <w:t xml:space="preserve">В качестве технических средств для дезинфекции мест разделки туш добытых кабанов возможно использование ранцевых распылителей объемом не менее 5 л в теплое время года, в зимнее время допускается использование порошкообразных дезинфицирующих средств в соответствии с инструкциями по их применению. В случае отсутствия условий для централизованной разделки туш выполнить условия, указанные в пунктах 5 и 6 настоящих Рекомендаций.</w:t>
      </w:r>
    </w:p>
    <w:p>
      <w:pPr>
        <w:numPr>
          <w:ilvl w:val="0"/>
          <w:numId w:val="1003"/>
        </w:numPr>
        <w:pStyle w:val="Compact"/>
      </w:pPr>
    </w:p>
    <w:p>
      <w:pPr>
        <w:numPr>
          <w:ilvl w:val="1"/>
          <w:numId w:val="1004"/>
        </w:numPr>
        <w:pStyle w:val="Compact"/>
      </w:pPr>
      <w:r>
        <w:t xml:space="preserve">Осуществлять дезинфекцию транспортных средств и приспособлений, используемых для перевозки туш добытых животных.</w:t>
      </w:r>
    </w:p>
    <w:p>
      <w:pPr>
        <w:numPr>
          <w:ilvl w:val="1"/>
          <w:numId w:val="1004"/>
        </w:numPr>
        <w:pStyle w:val="Compact"/>
      </w:pPr>
      <w:r>
        <w:t xml:space="preserve">При транспортировке туш добытых кабанов до мест централизованной разделки использовать приспособления (пластиковые или металлические емкости соответствующего размера) в целях недопущения попадания крови или Рекомендации по предупреждению распространения африканской чумы свиней среди диких кабанов во время охоты</w:t>
      </w:r>
    </w:p>
    <w:p>
      <w:pPr>
        <w:numPr>
          <w:ilvl w:val="1"/>
          <w:numId w:val="1004"/>
        </w:numPr>
        <w:pStyle w:val="Compact"/>
      </w:pPr>
      <w:r>
        <w:t xml:space="preserve">При оформлении договора (путевки) на оказание услуг по организации охоты уточнять у лиц, планирующих осуществление в конкретном охотничьем хозяйстве охоты, их нахождение ранее в субъектах Российской Федерации, в которых были зафиксированы вспышки африканской чумы свиней (далее - АЧС).</w:t>
      </w:r>
    </w:p>
    <w:p>
      <w:pPr>
        <w:numPr>
          <w:ilvl w:val="1"/>
          <w:numId w:val="1004"/>
        </w:numPr>
        <w:pStyle w:val="Compact"/>
      </w:pPr>
      <w:r>
        <w:t xml:space="preserve">В случае подтверждения информации, указанной в п. 1, от лиц, планирующих осуществить охоту на территории охотничьих хозяйств в субъектах Российской Федерации, благополучных по указанному заболеванию, накануне (перед началом) охоты рекомендуется обеспечить механическую очистку и дезинфекцию обуви, ножей, замену элементов охотничьей экипировки (верхняя одежда, перчатки и т.д.), в которых ранее возможно осуществлялась охота на территории неблагополучных по АЧС охотничьих хозяйств и с использованием которых осуществлялась разделка туш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В случае использования лицами, предполагающими осуществлять охоту на территории благополучных по АЧС охотничьих хозяйств, для перевозки туш добытых кабанов или частей туш автотранспорта, использовавшегося ранее в неблагополучных по АЧС охотничьих хозяйствах, охотникам и/или лицам, осуществляющим деятельность в сфере охотничьего хозяйства, рекомендуется обеспечить дезинфекцию транспорта и его багажного отделения или обеспечить недопущение нахождения и использования такого автотранспорта на территории охотничьего хозяйства.</w:t>
      </w:r>
    </w:p>
    <w:p>
      <w:pPr>
        <w:numPr>
          <w:ilvl w:val="1"/>
          <w:numId w:val="1004"/>
        </w:numPr>
        <w:pStyle w:val="Compact"/>
      </w:pPr>
      <w:r>
        <w:t xml:space="preserve">Охотникам и/или лицам, осуществляющим деятельность в сфере охотничьего хозяйства, во взаимодействии с органом управления ветеринарией субъекта Российской Федерации обеспечить проведение ветеринарно-санитарной экспертизы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Не осуществлять закрытие лицензии в случае добычи животных без проведения ветеринарно-санитарной экспертизы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Охотникам и/или лицам, занятым в сфере охотничьего хозяйства, осуществляющим охоту на другие виды охотничьих животных в охотничьих хозяйствах, неблагополучных по АЧС, проживающим в сельской местности и содержащим на подворьях домашних свиней, необходимо проводить очистку обуви (мойка) и последующую дезинфекцию, как это указано в пунктах 6 и 13 настоящих Рекомендаций.</w:t>
      </w:r>
    </w:p>
    <w:p>
      <w:pPr>
        <w:pStyle w:val="FirstParagraph"/>
      </w:pPr>
      <w:r>
        <w:t xml:space="preserve">ПОМНИТЕ! Вирус АЧС в полевых условиях устойчив к гниению, длительно сохраняется в различных выделениях больных животных. В свином навозе вирус АЧС сохраняет свою активность от 60 до 100 дней. В фекалиях при комнатной температуре (18-24 °С) вирус активен более 10 дней, в почве - до 4 месяцев. Вне организма в физиологических средах или сыворотке крови вирус АЧС сохраняется:</w:t>
      </w:r>
    </w:p>
    <w:p>
      <w:pPr>
        <w:pStyle w:val="BodyText"/>
      </w:pPr>
      <w:r>
        <w:t xml:space="preserve">- 6 лет при температуре 5 °С в темноте (низкие температуры способствуют длительному выживанию вируса в различных субстратах);</w:t>
      </w:r>
      <w:r>
        <w:t xml:space="preserve"> </w:t>
      </w:r>
    </w:p>
    <w:p>
      <w:pPr>
        <w:pStyle w:val="BodyText"/>
      </w:pPr>
      <w:r>
        <w:t xml:space="preserve">- 18 месяцев в крови или сыворотке крови при комнатной температуре;</w:t>
      </w:r>
      <w:r>
        <w:t xml:space="preserve"> </w:t>
      </w:r>
    </w:p>
    <w:p>
      <w:pPr>
        <w:pStyle w:val="BodyText"/>
      </w:pPr>
      <w:r>
        <w:t xml:space="preserve">- до 1 месяца при температуре 37 °С;</w:t>
      </w:r>
    </w:p>
    <w:p>
      <w:pPr>
        <w:pStyle w:val="BodyText"/>
      </w:pPr>
      <w:r>
        <w:t xml:space="preserve">- 3,5 часа при температуре 56 °С, до 10 минут при 60 °С; вирус АЧС не инактивируется при созревании мяса, трупном окоченении и аутолизе (разложении) трупа животного;</w:t>
      </w:r>
    </w:p>
    <w:p>
      <w:pPr>
        <w:pStyle w:val="BodyText"/>
      </w:pPr>
      <w:r>
        <w:t xml:space="preserve">- 4 месяца в охлажденном мясе;</w:t>
      </w:r>
      <w:r>
        <w:t xml:space="preserve"> </w:t>
      </w:r>
    </w:p>
    <w:p>
      <w:pPr>
        <w:pStyle w:val="BodyText"/>
      </w:pPr>
      <w:r>
        <w:t xml:space="preserve">- 15 лет в замороженных тушах.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http://tagan.mos.ru/presscenter/important-information/detail/9819315.html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9819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9819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2024-05-16T16:07:43Z</dcterms:created>
  <dcterms:modified xsi:type="dcterms:W3CDTF">2024-05-16T16:07:43Z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