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08b197fe4835716db7a51dda1c4d8b79c4187"/>
    <w:p>
      <w:pPr>
        <w:pStyle w:val="Heading3"/>
      </w:pPr>
      <w:r>
        <w:t xml:space="preserve">Офисные помещения разместятся в Доходном доме XIX века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Градостроительно-земельная комиссия города Москвы приняла решение в пользу проекта Комитета столицы по обеспечению реализации инвестиционных проектов в строиельсте и контролю в области долевого строительства по реконструкции доходного дома в районе. Об этом стало известно 1 сентября.</w:t>
      </w:r>
    </w:p>
    <w:p>
      <w:pPr>
        <w:pStyle w:val="BodyText"/>
      </w:pPr>
      <w:r>
        <w:t xml:space="preserve">Доходный дом, находящийся во 2-м Сыромятническом переулке, является объектом историко-градостроительной среды, общая площадь которого составляет более 1800 квадратных метров.</w:t>
      </w:r>
    </w:p>
    <w:p>
      <w:pPr>
        <w:pStyle w:val="BodyText"/>
      </w:pPr>
      <w:r>
        <w:t xml:space="preserve">По словам председателя Москомстройинвеста Анастасии Пятовой, после реконструкции, в здании разместят офисные помещения.</w:t>
      </w:r>
    </w:p>
    <w:p>
      <w:pPr>
        <w:pStyle w:val="BodyText"/>
      </w:pPr>
      <w:r>
        <w:t xml:space="preserve">После проведения работ площадь здания не изменится,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Комплекса градостроительной политики и строительства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http://tagan.mos.ru/presscenter/news/detail/11027757.html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027757.html" TargetMode="External" /><Relationship Type="http://schemas.openxmlformats.org/officeDocument/2006/relationships/hyperlink" Id="rId20" Target="https://stroi.mos.ru/news/dokhodnyi-dom-xix-vieka-v-taghanskom-raionie-staniet-ofisnym-tsientrom?ysclid=l7j0ak2z1a3749291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027757.html" TargetMode="External" /><Relationship Type="http://schemas.openxmlformats.org/officeDocument/2006/relationships/hyperlink" Id="rId20" Target="https://stroi.mos.ru/news/dokhodnyi-dom-xix-vieka-v-taghanskom-raionie-staniet-ofisnym-tsientrom?ysclid=l7j0ak2z1a3749291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2024-09-17T13:25:25Z</dcterms:created>
  <dcterms:modified xsi:type="dcterms:W3CDTF">2024-09-17T13:25:25Z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