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9a15733411ad3ce2ae37fc866a57ea5b1a0f7e"/>
    <w:p>
      <w:pPr>
        <w:pStyle w:val="Heading3"/>
      </w:pPr>
      <w:r>
        <w:t xml:space="preserve">Места для крещенских купаний в Москве в 2025 году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drawing>
          <wp:inline>
            <wp:extent cx="5334000" cy="35545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social-policy/Крещенские%20купания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0229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agan.mos.ru/www/social-policy/Крещенские%20купания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2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http://tagan.mos.ru/social-policy/sport/news-sports-and-leisure/detail/12711172.html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agan.mos.ru" TargetMode="External" /><Relationship Type="http://schemas.openxmlformats.org/officeDocument/2006/relationships/hyperlink" Id="rId26" Target="http://tagan.mos.ru/social-policy/sport/news-sports-and-leisure/detail/12711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agan.mos.ru" TargetMode="External" /><Relationship Type="http://schemas.openxmlformats.org/officeDocument/2006/relationships/hyperlink" Id="rId26" Target="http://tagan.mos.ru/social-policy/sport/news-sports-and-leisure/detail/12711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2025-07-04T14:38:40Z</dcterms:created>
  <dcterms:modified xsi:type="dcterms:W3CDTF">2025-07-04T14:38:40Z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