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e559254c78b71573d277f7e952b6261828e9a"/>
    <w:p>
      <w:pPr>
        <w:pStyle w:val="Heading3"/>
      </w:pPr>
      <w:r>
        <w:t xml:space="preserve">Новогодний турнир по настольному теннису 1</w:t>
      </w:r>
    </w:p>
    <w:p>
      <w:pPr>
        <w:pStyle w:val="FirstParagraph"/>
      </w:pPr>
      <w:r>
        <w:t xml:space="preserve">27.12.2018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47d/master-_-tenn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http://tagan.mos.ru/social-policy/sport/news-sports-and-leisure/detail/7796120.html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social-policy/sport/news-sports-and-leisure/detail/77961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social-policy/sport/news-sports-and-leisure/detail/77961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2023-11-20T22:27:20Z</dcterms:created>
  <dcterms:modified xsi:type="dcterms:W3CDTF">2023-11-20T22:27:20Z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