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405094e41b0b7ffcaf7cb36068beb34bf71a5a"/>
    <w:p>
      <w:pPr>
        <w:pStyle w:val="Heading3"/>
      </w:pPr>
      <w:r>
        <w:t xml:space="preserve">Отчет о расходовании средств на территории ЦАО</w:t>
      </w:r>
    </w:p>
    <w:p>
      <w:pPr>
        <w:pStyle w:val="FirstParagraph"/>
      </w:pPr>
      <w:r>
        <w:t xml:space="preserve">05.09.2014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agan.mos.ru/www/housing-and-communal-services-and-improvement/отчет%20за%202%20полугодие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http://tagan.mos.ru/where-the-money-from-paid-parking/detail/1263041.html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housing-and-communal-services-and-improvement/&#1086;&#1090;&#1095;&#1077;&#1090;%20&#1079;&#1072;%202-&#1087;&#1086;&#1083;&#1091;&#1075;&#1086;&#1076;%202013%20-%202014-2,5.pdf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where-the-money-from-paid-parking/detail/1263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housing-and-communal-services-and-improvement/&#1086;&#1090;&#1095;&#1077;&#1090;%20&#1079;&#1072;%202-&#1087;&#1086;&#1083;&#1091;&#1075;&#1086;&#1076;%202013%20-%202014-2,5.pdf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where-the-money-from-paid-parking/detail/1263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2025-07-04T14:36:18Z</dcterms:created>
  <dcterms:modified xsi:type="dcterms:W3CDTF">2025-07-04T14:36:18Z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