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86ac6df95cd6b3c59089f0424954525fd030b"/>
    <w:p>
      <w:pPr>
        <w:pStyle w:val="Heading3"/>
      </w:pPr>
      <w:r>
        <w:t xml:space="preserve">Все собранные средства от платных парковок направляются на благоустройство города</w:t>
      </w:r>
    </w:p>
    <w:p>
      <w:pPr>
        <w:pStyle w:val="FirstParagraph"/>
      </w:pPr>
      <w:r>
        <w:t xml:space="preserve">12.04.2016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0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search/¦¬¦-TД¦-¦¦TА¦-TД¦¬¦¦¦-%20¦¬¦-%20TА¦-TБTЕ¦-¦+¦-¦-¦-¦-¦¬TО%20TБTА¦¦¦+TБTВ¦--6-TЖ¦¦¦¬¦-TП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0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http://tagan.mos.ru/where-the-money-from-paid-parking/detail/2758706.html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where-the-money-from-paid-parking/detail/2758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where-the-money-from-paid-parking/detail/2758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2025-05-10T12:41:16Z</dcterms:created>
  <dcterms:modified xsi:type="dcterms:W3CDTF">2025-05-10T12:41:16Z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