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d1395814fa9b2c3263ec57e36f5d4a21cce9b1"/>
    <w:p>
      <w:pPr>
        <w:pStyle w:val="Heading3"/>
      </w:pPr>
      <w:r>
        <w:t xml:space="preserve">Реализация средств префектурами АО города Москвы, поступивших от пользования платными парковками города Москвы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drawing>
          <wp:inline>
            <wp:extent cx="5334000" cy="37021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search/1958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2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5126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agan.mos.ru/www/search/19575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1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http://tagan.mos.ru/where-the-money-from-paid-parking/detail/2758740.html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where-the-money-from-paid-parking/detail/2758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where-the-money-from-paid-parking/detail/2758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2025-07-04T14:33:29Z</dcterms:created>
  <dcterms:modified xsi:type="dcterms:W3CDTF">2025-07-04T14:33:29Z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